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649D8" w14:textId="084836BC" w:rsidR="00B26679" w:rsidRPr="00282053" w:rsidRDefault="00B26679" w:rsidP="00B26679">
      <w:pPr>
        <w:jc w:val="center"/>
        <w:rPr>
          <w:sz w:val="22"/>
          <w:szCs w:val="22"/>
        </w:rPr>
      </w:pPr>
      <w:r w:rsidRPr="00282053">
        <w:rPr>
          <w:sz w:val="22"/>
          <w:szCs w:val="22"/>
        </w:rPr>
        <w:t>12-February-2026</w:t>
      </w:r>
    </w:p>
    <w:p w14:paraId="5F44632D" w14:textId="1E1D05B6" w:rsidR="00587585" w:rsidRPr="00282053" w:rsidRDefault="00B26679">
      <w:pPr>
        <w:rPr>
          <w:sz w:val="22"/>
          <w:szCs w:val="22"/>
        </w:rPr>
      </w:pPr>
      <w:r w:rsidRPr="00282053">
        <w:rPr>
          <w:sz w:val="22"/>
          <w:szCs w:val="22"/>
        </w:rPr>
        <w:br/>
      </w:r>
      <w:r w:rsidR="009F4BD6" w:rsidRPr="00282053">
        <w:rPr>
          <w:sz w:val="22"/>
          <w:szCs w:val="22"/>
        </w:rPr>
        <w:t>Dear Tripti and Sajid,</w:t>
      </w:r>
    </w:p>
    <w:p w14:paraId="5BF3F8F0" w14:textId="3F418279" w:rsidR="009F4BD6" w:rsidRPr="00282053" w:rsidRDefault="009F4BD6">
      <w:pPr>
        <w:rPr>
          <w:sz w:val="22"/>
          <w:szCs w:val="22"/>
        </w:rPr>
      </w:pPr>
      <w:r w:rsidRPr="00282053">
        <w:rPr>
          <w:sz w:val="22"/>
          <w:szCs w:val="22"/>
        </w:rPr>
        <w:t xml:space="preserve">I am attaching this communication as part of my ICANN Public Comment regarding ICANN FY27-31 Operating and Financial Plan, ICANN/IANA FY27 Op Plans and Budget, and I am addressing this communication to you directly as ICANN Board Chair and Chair of the ICANN Board Finance Committee, respectively.  For the reasons set forth below, I </w:t>
      </w:r>
      <w:r w:rsidR="00ED795C" w:rsidRPr="00282053">
        <w:rPr>
          <w:sz w:val="22"/>
          <w:szCs w:val="22"/>
        </w:rPr>
        <w:t>am concerned</w:t>
      </w:r>
      <w:r w:rsidRPr="00282053">
        <w:rPr>
          <w:sz w:val="22"/>
          <w:szCs w:val="22"/>
        </w:rPr>
        <w:t xml:space="preserve"> </w:t>
      </w:r>
      <w:r w:rsidR="00ED795C" w:rsidRPr="00282053">
        <w:rPr>
          <w:sz w:val="22"/>
          <w:szCs w:val="22"/>
        </w:rPr>
        <w:t xml:space="preserve">that </w:t>
      </w:r>
      <w:r w:rsidRPr="00282053">
        <w:rPr>
          <w:sz w:val="22"/>
          <w:szCs w:val="22"/>
        </w:rPr>
        <w:t>the proposed budget lacks appropriate initiatives to safeguard and reinforce ICANN’s role as a nonprofit public benefit corporation and instead double</w:t>
      </w:r>
      <w:r w:rsidR="0028267B" w:rsidRPr="00282053">
        <w:rPr>
          <w:sz w:val="22"/>
          <w:szCs w:val="22"/>
        </w:rPr>
        <w:t>s</w:t>
      </w:r>
      <w:r w:rsidRPr="00282053">
        <w:rPr>
          <w:sz w:val="22"/>
          <w:szCs w:val="22"/>
        </w:rPr>
        <w:t xml:space="preserve"> down on priorities that</w:t>
      </w:r>
      <w:r w:rsidR="00ED795C" w:rsidRPr="00282053">
        <w:rPr>
          <w:sz w:val="22"/>
          <w:szCs w:val="22"/>
        </w:rPr>
        <w:t xml:space="preserve"> risk</w:t>
      </w:r>
      <w:r w:rsidRPr="00282053">
        <w:rPr>
          <w:sz w:val="22"/>
          <w:szCs w:val="22"/>
        </w:rPr>
        <w:t xml:space="preserve"> continu</w:t>
      </w:r>
      <w:r w:rsidR="00ED795C" w:rsidRPr="00282053">
        <w:rPr>
          <w:sz w:val="22"/>
          <w:szCs w:val="22"/>
        </w:rPr>
        <w:t>ing</w:t>
      </w:r>
      <w:r w:rsidRPr="00282053">
        <w:rPr>
          <w:sz w:val="22"/>
          <w:szCs w:val="22"/>
        </w:rPr>
        <w:t xml:space="preserve"> to </w:t>
      </w:r>
      <w:r w:rsidR="0028267B" w:rsidRPr="00282053">
        <w:rPr>
          <w:sz w:val="22"/>
          <w:szCs w:val="22"/>
        </w:rPr>
        <w:t xml:space="preserve">transform ICANN into a </w:t>
      </w:r>
      <w:r w:rsidR="00ED795C" w:rsidRPr="00282053">
        <w:rPr>
          <w:sz w:val="22"/>
          <w:szCs w:val="22"/>
        </w:rPr>
        <w:t>de facto</w:t>
      </w:r>
      <w:r w:rsidR="0028267B" w:rsidRPr="00282053">
        <w:rPr>
          <w:sz w:val="22"/>
          <w:szCs w:val="22"/>
        </w:rPr>
        <w:t xml:space="preserve"> trade association with a veneer of </w:t>
      </w:r>
      <w:proofErr w:type="spellStart"/>
      <w:r w:rsidR="0028267B" w:rsidRPr="00282053">
        <w:rPr>
          <w:sz w:val="22"/>
          <w:szCs w:val="22"/>
        </w:rPr>
        <w:t>multistakeholderism</w:t>
      </w:r>
      <w:proofErr w:type="spellEnd"/>
      <w:r w:rsidR="0028267B" w:rsidRPr="00282053">
        <w:rPr>
          <w:sz w:val="22"/>
          <w:szCs w:val="22"/>
        </w:rPr>
        <w:t xml:space="preserve">. </w:t>
      </w:r>
    </w:p>
    <w:p w14:paraId="3DBD830F" w14:textId="12F32C6D" w:rsidR="0028267B" w:rsidRPr="00282053" w:rsidRDefault="00685C8E">
      <w:pPr>
        <w:rPr>
          <w:b/>
          <w:bCs/>
          <w:sz w:val="22"/>
          <w:szCs w:val="22"/>
        </w:rPr>
      </w:pPr>
      <w:r w:rsidRPr="00282053">
        <w:rPr>
          <w:b/>
          <w:bCs/>
          <w:sz w:val="22"/>
          <w:szCs w:val="22"/>
        </w:rPr>
        <w:br/>
      </w:r>
      <w:r w:rsidR="0028267B" w:rsidRPr="00282053">
        <w:rPr>
          <w:b/>
          <w:bCs/>
          <w:sz w:val="22"/>
          <w:szCs w:val="22"/>
        </w:rPr>
        <w:t>ICANN’s Failure to Commit to a Comprehensive Economic Study</w:t>
      </w:r>
      <w:r w:rsidRPr="00282053">
        <w:rPr>
          <w:b/>
          <w:bCs/>
          <w:sz w:val="22"/>
          <w:szCs w:val="22"/>
        </w:rPr>
        <w:t xml:space="preserve"> of the DNS Marketplace and Why it Matters</w:t>
      </w:r>
    </w:p>
    <w:p w14:paraId="2927B018" w14:textId="01DFC3C3" w:rsidR="00685C8E" w:rsidRPr="00282053" w:rsidRDefault="00685C8E">
      <w:pPr>
        <w:rPr>
          <w:sz w:val="22"/>
          <w:szCs w:val="22"/>
        </w:rPr>
      </w:pPr>
      <w:r w:rsidRPr="00282053">
        <w:rPr>
          <w:sz w:val="22"/>
          <w:szCs w:val="22"/>
        </w:rPr>
        <w:t>In the Funding Forecast Assumptions for Fiscal Years 2027-2031, there are several notable statements:</w:t>
      </w:r>
    </w:p>
    <w:p w14:paraId="4FD52787" w14:textId="661A50D4" w:rsidR="00685C8E" w:rsidRPr="00282053" w:rsidRDefault="00685C8E" w:rsidP="00685C8E">
      <w:pPr>
        <w:pStyle w:val="p1"/>
        <w:numPr>
          <w:ilvl w:val="0"/>
          <w:numId w:val="1"/>
        </w:numPr>
        <w:rPr>
          <w:rFonts w:asciiTheme="minorHAnsi" w:hAnsiTheme="minorHAnsi"/>
          <w:sz w:val="22"/>
          <w:szCs w:val="22"/>
        </w:rPr>
      </w:pPr>
      <w:r w:rsidRPr="00282053">
        <w:rPr>
          <w:rFonts w:asciiTheme="minorHAnsi" w:hAnsiTheme="minorHAnsi"/>
          <w:sz w:val="22"/>
          <w:szCs w:val="22"/>
        </w:rPr>
        <w:t>The domain name industry continues to mature, with a trend among ICANN-accredited</w:t>
      </w:r>
      <w:r w:rsidRPr="00282053">
        <w:rPr>
          <w:rFonts w:asciiTheme="minorHAnsi" w:hAnsiTheme="minorHAnsi"/>
          <w:sz w:val="22"/>
          <w:szCs w:val="22"/>
        </w:rPr>
        <w:t xml:space="preserve"> </w:t>
      </w:r>
      <w:r w:rsidRPr="00282053">
        <w:rPr>
          <w:rFonts w:asciiTheme="minorHAnsi" w:hAnsiTheme="minorHAnsi"/>
          <w:sz w:val="22"/>
          <w:szCs w:val="22"/>
        </w:rPr>
        <w:t xml:space="preserve">registrars and gTLD registry operators of </w:t>
      </w:r>
      <w:r w:rsidRPr="00282053">
        <w:rPr>
          <w:rFonts w:asciiTheme="minorHAnsi" w:hAnsiTheme="minorHAnsi"/>
          <w:b/>
          <w:bCs/>
          <w:sz w:val="22"/>
          <w:szCs w:val="22"/>
        </w:rPr>
        <w:t>merging their operations or expanding their</w:t>
      </w:r>
      <w:r w:rsidRPr="00282053">
        <w:rPr>
          <w:rFonts w:asciiTheme="minorHAnsi" w:hAnsiTheme="minorHAnsi"/>
          <w:b/>
          <w:bCs/>
          <w:sz w:val="22"/>
          <w:szCs w:val="22"/>
        </w:rPr>
        <w:t xml:space="preserve"> </w:t>
      </w:r>
      <w:r w:rsidRPr="00282053">
        <w:rPr>
          <w:rFonts w:asciiTheme="minorHAnsi" w:hAnsiTheme="minorHAnsi"/>
          <w:b/>
          <w:bCs/>
          <w:sz w:val="22"/>
          <w:szCs w:val="22"/>
        </w:rPr>
        <w:t>reach through acquisitions</w:t>
      </w:r>
      <w:r w:rsidRPr="00282053">
        <w:rPr>
          <w:rFonts w:asciiTheme="minorHAnsi" w:hAnsiTheme="minorHAnsi"/>
          <w:sz w:val="22"/>
          <w:szCs w:val="22"/>
        </w:rPr>
        <w:t>.</w:t>
      </w:r>
      <w:r w:rsidRPr="00282053">
        <w:rPr>
          <w:rStyle w:val="s1"/>
          <w:rFonts w:asciiTheme="minorHAnsi" w:eastAsiaTheme="majorEastAsia" w:hAnsiTheme="minorHAnsi"/>
          <w:sz w:val="22"/>
          <w:szCs w:val="22"/>
        </w:rPr>
        <w:t xml:space="preserve"> </w:t>
      </w:r>
      <w:r w:rsidRPr="00282053">
        <w:rPr>
          <w:rFonts w:asciiTheme="minorHAnsi" w:hAnsiTheme="minorHAnsi"/>
          <w:sz w:val="22"/>
          <w:szCs w:val="22"/>
        </w:rPr>
        <w:t>Registry operators</w:t>
      </w:r>
      <w:proofErr w:type="gramStart"/>
      <w:r w:rsidRPr="00282053">
        <w:rPr>
          <w:rFonts w:asciiTheme="minorHAnsi" w:hAnsiTheme="minorHAnsi"/>
          <w:sz w:val="22"/>
          <w:szCs w:val="22"/>
        </w:rPr>
        <w:t>, in particular, cite</w:t>
      </w:r>
      <w:proofErr w:type="gramEnd"/>
      <w:r w:rsidRPr="00282053">
        <w:rPr>
          <w:rFonts w:asciiTheme="minorHAnsi" w:hAnsiTheme="minorHAnsi"/>
          <w:sz w:val="22"/>
          <w:szCs w:val="22"/>
        </w:rPr>
        <w:t xml:space="preserve"> a compelling</w:t>
      </w:r>
      <w:r w:rsidRPr="00282053">
        <w:rPr>
          <w:rFonts w:asciiTheme="minorHAnsi" w:hAnsiTheme="minorHAnsi"/>
          <w:sz w:val="22"/>
          <w:szCs w:val="22"/>
        </w:rPr>
        <w:t xml:space="preserve"> </w:t>
      </w:r>
      <w:r w:rsidRPr="00282053">
        <w:rPr>
          <w:rFonts w:asciiTheme="minorHAnsi" w:hAnsiTheme="minorHAnsi"/>
          <w:sz w:val="22"/>
          <w:szCs w:val="22"/>
        </w:rPr>
        <w:t>opportunity to improve upon economies of scale, given the relatively low incremental</w:t>
      </w:r>
      <w:r w:rsidRPr="00282053">
        <w:rPr>
          <w:rFonts w:asciiTheme="minorHAnsi" w:hAnsiTheme="minorHAnsi"/>
          <w:sz w:val="22"/>
          <w:szCs w:val="22"/>
        </w:rPr>
        <w:t xml:space="preserve"> </w:t>
      </w:r>
      <w:r w:rsidRPr="00282053">
        <w:rPr>
          <w:rFonts w:asciiTheme="minorHAnsi" w:hAnsiTheme="minorHAnsi"/>
          <w:sz w:val="22"/>
          <w:szCs w:val="22"/>
        </w:rPr>
        <w:t>costs associated with running a greater number of gTLDs.</w:t>
      </w:r>
      <w:r w:rsidR="00707F64" w:rsidRPr="00282053">
        <w:rPr>
          <w:rFonts w:asciiTheme="minorHAnsi" w:hAnsiTheme="minorHAnsi"/>
          <w:sz w:val="22"/>
          <w:szCs w:val="22"/>
        </w:rPr>
        <w:t xml:space="preserve"> (emphasis added)</w:t>
      </w:r>
    </w:p>
    <w:p w14:paraId="4164F642" w14:textId="77777777" w:rsidR="00685C8E" w:rsidRPr="00282053" w:rsidRDefault="00685C8E" w:rsidP="00685C8E">
      <w:pPr>
        <w:pStyle w:val="p1"/>
        <w:ind w:left="720"/>
        <w:rPr>
          <w:rFonts w:asciiTheme="minorHAnsi" w:hAnsiTheme="minorHAnsi"/>
          <w:sz w:val="22"/>
          <w:szCs w:val="22"/>
        </w:rPr>
      </w:pPr>
    </w:p>
    <w:p w14:paraId="711F5EF6" w14:textId="6A62DAC0" w:rsidR="00707F64" w:rsidRPr="00282053" w:rsidRDefault="00685C8E" w:rsidP="00707F64">
      <w:pPr>
        <w:pStyle w:val="p1"/>
        <w:numPr>
          <w:ilvl w:val="0"/>
          <w:numId w:val="1"/>
        </w:numPr>
        <w:rPr>
          <w:rFonts w:asciiTheme="minorHAnsi" w:hAnsiTheme="minorHAnsi"/>
          <w:sz w:val="22"/>
          <w:szCs w:val="22"/>
        </w:rPr>
      </w:pPr>
      <w:r w:rsidRPr="00282053">
        <w:rPr>
          <w:rFonts w:asciiTheme="minorHAnsi" w:hAnsiTheme="minorHAnsi"/>
          <w:sz w:val="22"/>
          <w:szCs w:val="22"/>
        </w:rPr>
        <w:t>Historically, monetization through parked domains provided an incentive for investors to</w:t>
      </w:r>
      <w:r w:rsidRPr="00282053">
        <w:rPr>
          <w:rFonts w:asciiTheme="minorHAnsi" w:hAnsiTheme="minorHAnsi"/>
          <w:sz w:val="22"/>
          <w:szCs w:val="22"/>
        </w:rPr>
        <w:t xml:space="preserve"> </w:t>
      </w:r>
      <w:r w:rsidRPr="00282053">
        <w:rPr>
          <w:rFonts w:asciiTheme="minorHAnsi" w:hAnsiTheme="minorHAnsi"/>
          <w:sz w:val="22"/>
          <w:szCs w:val="22"/>
        </w:rPr>
        <w:t>maintain large portfolios of low-content domains. However, many investors are</w:t>
      </w:r>
      <w:r w:rsidRPr="00282053">
        <w:rPr>
          <w:rFonts w:asciiTheme="minorHAnsi" w:hAnsiTheme="minorHAnsi"/>
          <w:sz w:val="22"/>
          <w:szCs w:val="22"/>
        </w:rPr>
        <w:t xml:space="preserve"> </w:t>
      </w:r>
      <w:r w:rsidRPr="00282053">
        <w:rPr>
          <w:rFonts w:asciiTheme="minorHAnsi" w:hAnsiTheme="minorHAnsi"/>
          <w:sz w:val="22"/>
          <w:szCs w:val="22"/>
        </w:rPr>
        <w:t>increasingly reassessing their holdings and dropping underperforming parked names –</w:t>
      </w:r>
      <w:r w:rsidRPr="00282053">
        <w:rPr>
          <w:rFonts w:asciiTheme="minorHAnsi" w:hAnsiTheme="minorHAnsi"/>
          <w:sz w:val="22"/>
          <w:szCs w:val="22"/>
        </w:rPr>
        <w:t xml:space="preserve"> </w:t>
      </w:r>
      <w:r w:rsidRPr="00282053">
        <w:rPr>
          <w:rFonts w:asciiTheme="minorHAnsi" w:hAnsiTheme="minorHAnsi"/>
          <w:sz w:val="22"/>
          <w:szCs w:val="22"/>
        </w:rPr>
        <w:t xml:space="preserve">particularly those for which </w:t>
      </w:r>
      <w:r w:rsidRPr="00282053">
        <w:rPr>
          <w:rFonts w:asciiTheme="minorHAnsi" w:hAnsiTheme="minorHAnsi"/>
          <w:b/>
          <w:bCs/>
          <w:sz w:val="22"/>
          <w:szCs w:val="22"/>
        </w:rPr>
        <w:t>rising renewal costs</w:t>
      </w:r>
      <w:r w:rsidRPr="00282053">
        <w:rPr>
          <w:rFonts w:asciiTheme="minorHAnsi" w:hAnsiTheme="minorHAnsi"/>
          <w:sz w:val="22"/>
          <w:szCs w:val="22"/>
        </w:rPr>
        <w:t xml:space="preserve"> now outweigh revenue potential.</w:t>
      </w:r>
      <w:r w:rsidR="00707F64" w:rsidRPr="00282053">
        <w:rPr>
          <w:rFonts w:asciiTheme="minorHAnsi" w:hAnsiTheme="minorHAnsi"/>
          <w:sz w:val="22"/>
          <w:szCs w:val="22"/>
        </w:rPr>
        <w:t xml:space="preserve"> (emphasis added)</w:t>
      </w:r>
      <w:r w:rsidR="00707F64" w:rsidRPr="00282053">
        <w:rPr>
          <w:rFonts w:asciiTheme="minorHAnsi" w:hAnsiTheme="minorHAnsi"/>
          <w:sz w:val="22"/>
          <w:szCs w:val="22"/>
        </w:rPr>
        <w:br/>
      </w:r>
    </w:p>
    <w:p w14:paraId="1D3ABADD" w14:textId="7F2E3EA2" w:rsidR="00707F64" w:rsidRPr="00282053" w:rsidRDefault="00D36E6A" w:rsidP="00D36E6A">
      <w:pPr>
        <w:pStyle w:val="p1"/>
        <w:ind w:left="360"/>
        <w:rPr>
          <w:rFonts w:asciiTheme="minorHAnsi" w:hAnsiTheme="minorHAnsi"/>
          <w:sz w:val="22"/>
          <w:szCs w:val="22"/>
        </w:rPr>
      </w:pPr>
      <w:r w:rsidRPr="00282053">
        <w:rPr>
          <w:rFonts w:asciiTheme="minorHAnsi" w:hAnsiTheme="minorHAnsi"/>
          <w:sz w:val="22"/>
          <w:szCs w:val="22"/>
        </w:rPr>
        <w:t>There have been numerous calls, from both the private and public sectors, dating back well over a decade, for ICANN to conduct a</w:t>
      </w:r>
      <w:r w:rsidR="00D5177C" w:rsidRPr="00282053">
        <w:rPr>
          <w:rFonts w:asciiTheme="minorHAnsi" w:hAnsiTheme="minorHAnsi"/>
          <w:sz w:val="22"/>
          <w:szCs w:val="22"/>
        </w:rPr>
        <w:t xml:space="preserve"> comprehensive </w:t>
      </w:r>
      <w:r w:rsidRPr="00282053">
        <w:rPr>
          <w:rFonts w:asciiTheme="minorHAnsi" w:hAnsiTheme="minorHAnsi"/>
          <w:sz w:val="22"/>
          <w:szCs w:val="22"/>
        </w:rPr>
        <w:t xml:space="preserve">economic study of the </w:t>
      </w:r>
      <w:r w:rsidR="00ED795C" w:rsidRPr="00282053">
        <w:rPr>
          <w:rFonts w:asciiTheme="minorHAnsi" w:hAnsiTheme="minorHAnsi"/>
          <w:sz w:val="22"/>
          <w:szCs w:val="22"/>
        </w:rPr>
        <w:t xml:space="preserve">entire </w:t>
      </w:r>
      <w:r w:rsidRPr="00282053">
        <w:rPr>
          <w:rFonts w:asciiTheme="minorHAnsi" w:hAnsiTheme="minorHAnsi"/>
          <w:sz w:val="22"/>
          <w:szCs w:val="22"/>
        </w:rPr>
        <w:t>domain name marketplace</w:t>
      </w:r>
      <w:r w:rsidR="00D5177C" w:rsidRPr="00282053">
        <w:rPr>
          <w:rFonts w:asciiTheme="minorHAnsi" w:hAnsiTheme="minorHAnsi"/>
          <w:sz w:val="22"/>
          <w:szCs w:val="22"/>
        </w:rPr>
        <w:t>, both primary and secondary</w:t>
      </w:r>
      <w:r w:rsidRPr="00282053">
        <w:rPr>
          <w:rFonts w:asciiTheme="minorHAnsi" w:hAnsiTheme="minorHAnsi"/>
          <w:sz w:val="22"/>
          <w:szCs w:val="22"/>
        </w:rPr>
        <w:t xml:space="preserve">. Despite ICANN having </w:t>
      </w:r>
      <w:r w:rsidR="00ED795C" w:rsidRPr="00282053">
        <w:rPr>
          <w:rFonts w:asciiTheme="minorHAnsi" w:hAnsiTheme="minorHAnsi"/>
          <w:sz w:val="22"/>
          <w:szCs w:val="22"/>
        </w:rPr>
        <w:t xml:space="preserve">contractual authority to conduct such a study dating back to the 2012 baseline registry </w:t>
      </w:r>
      <w:r w:rsidR="00D5177C" w:rsidRPr="00282053">
        <w:rPr>
          <w:rFonts w:asciiTheme="minorHAnsi" w:hAnsiTheme="minorHAnsi"/>
          <w:sz w:val="22"/>
          <w:szCs w:val="22"/>
        </w:rPr>
        <w:t>agreement and sufficient cash reserves to fund it, the last partial economic study took place in 2015 and focused primarily on the new gTLDs</w:t>
      </w:r>
      <w:r w:rsidR="008A74A3" w:rsidRPr="00282053">
        <w:rPr>
          <w:rFonts w:asciiTheme="minorHAnsi" w:hAnsiTheme="minorHAnsi"/>
          <w:sz w:val="22"/>
          <w:szCs w:val="22"/>
        </w:rPr>
        <w:t xml:space="preserve">. </w:t>
      </w:r>
      <w:r w:rsidR="00D5177C" w:rsidRPr="00282053">
        <w:rPr>
          <w:rFonts w:asciiTheme="minorHAnsi" w:hAnsiTheme="minorHAnsi"/>
          <w:sz w:val="22"/>
          <w:szCs w:val="22"/>
        </w:rPr>
        <w:t>Moreover, ICANN does not appear to have ever studied the secondary domain name market and its impact on Registries, Registrars, and Registrants.</w:t>
      </w:r>
    </w:p>
    <w:p w14:paraId="73F8CCF3" w14:textId="77777777" w:rsidR="00FE015F" w:rsidRPr="00282053" w:rsidRDefault="00FE015F" w:rsidP="00D36E6A">
      <w:pPr>
        <w:pStyle w:val="p1"/>
        <w:ind w:left="360"/>
        <w:rPr>
          <w:rFonts w:asciiTheme="minorHAnsi" w:hAnsiTheme="minorHAnsi"/>
          <w:sz w:val="22"/>
          <w:szCs w:val="22"/>
        </w:rPr>
      </w:pPr>
    </w:p>
    <w:p w14:paraId="42F8E691" w14:textId="2D622945" w:rsidR="00FE015F" w:rsidRPr="00282053" w:rsidRDefault="00FE015F" w:rsidP="00D36E6A">
      <w:pPr>
        <w:pStyle w:val="p1"/>
        <w:ind w:left="360"/>
        <w:rPr>
          <w:rFonts w:asciiTheme="minorHAnsi" w:hAnsiTheme="minorHAnsi"/>
          <w:sz w:val="22"/>
          <w:szCs w:val="22"/>
        </w:rPr>
      </w:pPr>
      <w:r w:rsidRPr="00282053">
        <w:rPr>
          <w:rFonts w:asciiTheme="minorHAnsi" w:hAnsiTheme="minorHAnsi"/>
          <w:sz w:val="22"/>
          <w:szCs w:val="22"/>
        </w:rPr>
        <w:t>Any such economic study must include at a minimum the following aspects:</w:t>
      </w:r>
    </w:p>
    <w:p w14:paraId="11086583" w14:textId="77777777" w:rsidR="00FE015F" w:rsidRPr="00282053" w:rsidRDefault="00FE015F" w:rsidP="00D36E6A">
      <w:pPr>
        <w:pStyle w:val="p1"/>
        <w:ind w:left="360"/>
        <w:rPr>
          <w:rFonts w:asciiTheme="minorHAnsi" w:hAnsiTheme="minorHAnsi"/>
          <w:sz w:val="22"/>
          <w:szCs w:val="22"/>
        </w:rPr>
      </w:pPr>
    </w:p>
    <w:p w14:paraId="33602023" w14:textId="2CA9B56B" w:rsidR="00FE015F" w:rsidRPr="00282053" w:rsidRDefault="00FE015F" w:rsidP="00FE015F">
      <w:pPr>
        <w:pStyle w:val="p1"/>
        <w:numPr>
          <w:ilvl w:val="0"/>
          <w:numId w:val="2"/>
        </w:numPr>
        <w:rPr>
          <w:rFonts w:asciiTheme="minorHAnsi" w:hAnsiTheme="minorHAnsi"/>
          <w:sz w:val="22"/>
          <w:szCs w:val="22"/>
        </w:rPr>
      </w:pPr>
      <w:r w:rsidRPr="00282053">
        <w:rPr>
          <w:rFonts w:asciiTheme="minorHAnsi" w:hAnsiTheme="minorHAnsi"/>
          <w:sz w:val="22"/>
          <w:szCs w:val="22"/>
        </w:rPr>
        <w:t>The decision</w:t>
      </w:r>
      <w:r w:rsidR="00970DFF" w:rsidRPr="00282053">
        <w:rPr>
          <w:rFonts w:asciiTheme="minorHAnsi" w:hAnsiTheme="minorHAnsi"/>
          <w:sz w:val="22"/>
          <w:szCs w:val="22"/>
        </w:rPr>
        <w:t xml:space="preserve"> by ICANN</w:t>
      </w:r>
      <w:r w:rsidRPr="00282053">
        <w:rPr>
          <w:rFonts w:asciiTheme="minorHAnsi" w:hAnsiTheme="minorHAnsi"/>
          <w:sz w:val="22"/>
          <w:szCs w:val="22"/>
        </w:rPr>
        <w:t xml:space="preserve"> in the early 2000’s to grant all registry operators a presumptive right of renewal </w:t>
      </w:r>
      <w:r w:rsidR="00970DFF" w:rsidRPr="00282053">
        <w:rPr>
          <w:rFonts w:asciiTheme="minorHAnsi" w:hAnsiTheme="minorHAnsi"/>
          <w:sz w:val="22"/>
          <w:szCs w:val="22"/>
        </w:rPr>
        <w:t xml:space="preserve">in the baseline registry agreement, and the impact it has had on registrar </w:t>
      </w:r>
      <w:r w:rsidR="00970DFF" w:rsidRPr="00282053">
        <w:rPr>
          <w:rFonts w:asciiTheme="minorHAnsi" w:hAnsiTheme="minorHAnsi"/>
          <w:sz w:val="22"/>
          <w:szCs w:val="22"/>
        </w:rPr>
        <w:t xml:space="preserve">gTLD </w:t>
      </w:r>
      <w:r w:rsidR="00970DFF" w:rsidRPr="00282053">
        <w:rPr>
          <w:rFonts w:asciiTheme="minorHAnsi" w:hAnsiTheme="minorHAnsi"/>
          <w:sz w:val="22"/>
          <w:szCs w:val="22"/>
        </w:rPr>
        <w:t xml:space="preserve">wholesale prices </w:t>
      </w:r>
      <w:r w:rsidR="00970DFF" w:rsidRPr="00282053">
        <w:rPr>
          <w:rFonts w:asciiTheme="minorHAnsi" w:hAnsiTheme="minorHAnsi"/>
          <w:sz w:val="22"/>
          <w:szCs w:val="22"/>
        </w:rPr>
        <w:t>compared to</w:t>
      </w:r>
      <w:r w:rsidR="00970DFF" w:rsidRPr="00282053">
        <w:rPr>
          <w:rFonts w:asciiTheme="minorHAnsi" w:hAnsiTheme="minorHAnsi"/>
          <w:sz w:val="22"/>
          <w:szCs w:val="22"/>
        </w:rPr>
        <w:t xml:space="preserve"> ccTLD </w:t>
      </w:r>
      <w:r w:rsidR="00970DFF" w:rsidRPr="00282053">
        <w:rPr>
          <w:rFonts w:asciiTheme="minorHAnsi" w:hAnsiTheme="minorHAnsi"/>
          <w:sz w:val="22"/>
          <w:szCs w:val="22"/>
        </w:rPr>
        <w:t xml:space="preserve">wholesale prices </w:t>
      </w:r>
      <w:r w:rsidR="00970DFF" w:rsidRPr="00282053">
        <w:rPr>
          <w:rFonts w:asciiTheme="minorHAnsi" w:hAnsiTheme="minorHAnsi"/>
          <w:sz w:val="22"/>
          <w:szCs w:val="22"/>
        </w:rPr>
        <w:t>over</w:t>
      </w:r>
      <w:r w:rsidR="00970DFF" w:rsidRPr="00282053">
        <w:rPr>
          <w:rFonts w:asciiTheme="minorHAnsi" w:hAnsiTheme="minorHAnsi"/>
          <w:sz w:val="22"/>
          <w:szCs w:val="22"/>
        </w:rPr>
        <w:t xml:space="preserve"> the last two decades.</w:t>
      </w:r>
      <w:r w:rsidR="00970DFF" w:rsidRPr="00282053">
        <w:rPr>
          <w:rFonts w:asciiTheme="minorHAnsi" w:hAnsiTheme="minorHAnsi"/>
          <w:sz w:val="22"/>
          <w:szCs w:val="22"/>
        </w:rPr>
        <w:br/>
      </w:r>
    </w:p>
    <w:p w14:paraId="46659376" w14:textId="6590E323" w:rsidR="00970DFF" w:rsidRPr="00282053" w:rsidRDefault="00970DFF" w:rsidP="00FE015F">
      <w:pPr>
        <w:pStyle w:val="p1"/>
        <w:numPr>
          <w:ilvl w:val="0"/>
          <w:numId w:val="2"/>
        </w:numPr>
        <w:rPr>
          <w:rFonts w:asciiTheme="minorHAnsi" w:hAnsiTheme="minorHAnsi"/>
          <w:sz w:val="22"/>
          <w:szCs w:val="22"/>
        </w:rPr>
      </w:pPr>
      <w:r w:rsidRPr="00282053">
        <w:rPr>
          <w:rFonts w:asciiTheme="minorHAnsi" w:hAnsiTheme="minorHAnsi"/>
          <w:sz w:val="22"/>
          <w:szCs w:val="22"/>
        </w:rPr>
        <w:lastRenderedPageBreak/>
        <w:t>The impact of vertical integration on the domain name marketplace since 2012.</w:t>
      </w:r>
      <w:r w:rsidR="00D5177C" w:rsidRPr="00282053">
        <w:rPr>
          <w:rFonts w:asciiTheme="minorHAnsi" w:hAnsiTheme="minorHAnsi"/>
          <w:sz w:val="22"/>
          <w:szCs w:val="22"/>
        </w:rPr>
        <w:br/>
      </w:r>
    </w:p>
    <w:p w14:paraId="43DB71A2" w14:textId="1DEF5E31" w:rsidR="00970DFF" w:rsidRPr="00282053" w:rsidRDefault="00970DFF" w:rsidP="00FE015F">
      <w:pPr>
        <w:pStyle w:val="p1"/>
        <w:numPr>
          <w:ilvl w:val="0"/>
          <w:numId w:val="2"/>
        </w:numPr>
        <w:rPr>
          <w:rFonts w:asciiTheme="minorHAnsi" w:hAnsiTheme="minorHAnsi"/>
          <w:sz w:val="22"/>
          <w:szCs w:val="22"/>
        </w:rPr>
      </w:pPr>
      <w:r w:rsidRPr="00282053">
        <w:rPr>
          <w:rFonts w:asciiTheme="minorHAnsi" w:hAnsiTheme="minorHAnsi"/>
          <w:sz w:val="22"/>
          <w:szCs w:val="22"/>
        </w:rPr>
        <w:t xml:space="preserve"> The impact of the growing trend of Registrar listing fees imposed on Registry Operators and how it</w:t>
      </w:r>
      <w:r w:rsidR="0060484A" w:rsidRPr="00282053">
        <w:rPr>
          <w:rFonts w:asciiTheme="minorHAnsi" w:hAnsiTheme="minorHAnsi"/>
          <w:sz w:val="22"/>
          <w:szCs w:val="22"/>
        </w:rPr>
        <w:t xml:space="preserve"> potentially</w:t>
      </w:r>
      <w:r w:rsidRPr="00282053">
        <w:rPr>
          <w:rFonts w:asciiTheme="minorHAnsi" w:hAnsiTheme="minorHAnsi"/>
          <w:sz w:val="22"/>
          <w:szCs w:val="22"/>
        </w:rPr>
        <w:t xml:space="preserve"> negatively </w:t>
      </w:r>
      <w:r w:rsidR="0060484A" w:rsidRPr="00282053">
        <w:rPr>
          <w:rFonts w:asciiTheme="minorHAnsi" w:hAnsiTheme="minorHAnsi"/>
          <w:sz w:val="22"/>
          <w:szCs w:val="22"/>
        </w:rPr>
        <w:t>impacts</w:t>
      </w:r>
      <w:r w:rsidRPr="00282053">
        <w:rPr>
          <w:rFonts w:asciiTheme="minorHAnsi" w:hAnsiTheme="minorHAnsi"/>
          <w:sz w:val="22"/>
          <w:szCs w:val="22"/>
        </w:rPr>
        <w:t xml:space="preserve"> consumers’ choices in the marketplace.</w:t>
      </w:r>
      <w:r w:rsidRPr="00282053">
        <w:rPr>
          <w:rFonts w:asciiTheme="minorHAnsi" w:hAnsiTheme="minorHAnsi"/>
          <w:sz w:val="22"/>
          <w:szCs w:val="22"/>
        </w:rPr>
        <w:br/>
      </w:r>
    </w:p>
    <w:p w14:paraId="53AAF142" w14:textId="02FE0A85" w:rsidR="00970DFF" w:rsidRPr="00282053" w:rsidRDefault="00970DFF" w:rsidP="00970DFF">
      <w:pPr>
        <w:pStyle w:val="p1"/>
        <w:numPr>
          <w:ilvl w:val="0"/>
          <w:numId w:val="2"/>
        </w:numPr>
        <w:rPr>
          <w:rFonts w:asciiTheme="minorHAnsi" w:hAnsiTheme="minorHAnsi"/>
          <w:sz w:val="22"/>
          <w:szCs w:val="22"/>
        </w:rPr>
      </w:pPr>
      <w:r w:rsidRPr="00282053">
        <w:rPr>
          <w:rFonts w:asciiTheme="minorHAnsi" w:hAnsiTheme="minorHAnsi"/>
          <w:sz w:val="22"/>
          <w:szCs w:val="22"/>
        </w:rPr>
        <w:t>The evolution of the Registry Service Provider (RSP) marketplace and potential tying arrangements involving vertically integrated domain name companies.</w:t>
      </w:r>
      <w:r w:rsidRPr="00282053">
        <w:rPr>
          <w:rFonts w:asciiTheme="minorHAnsi" w:hAnsiTheme="minorHAnsi"/>
          <w:sz w:val="22"/>
          <w:szCs w:val="22"/>
        </w:rPr>
        <w:br/>
      </w:r>
    </w:p>
    <w:p w14:paraId="2C27785B" w14:textId="3F90224B" w:rsidR="00970DFF" w:rsidRPr="00282053" w:rsidRDefault="00970DFF" w:rsidP="00970DFF">
      <w:pPr>
        <w:pStyle w:val="p1"/>
        <w:numPr>
          <w:ilvl w:val="0"/>
          <w:numId w:val="2"/>
        </w:numPr>
        <w:rPr>
          <w:rFonts w:asciiTheme="minorHAnsi" w:hAnsiTheme="minorHAnsi"/>
          <w:sz w:val="22"/>
          <w:szCs w:val="22"/>
        </w:rPr>
      </w:pPr>
      <w:r w:rsidRPr="00282053">
        <w:rPr>
          <w:rFonts w:asciiTheme="minorHAnsi" w:hAnsiTheme="minorHAnsi"/>
          <w:sz w:val="22"/>
          <w:szCs w:val="22"/>
        </w:rPr>
        <w:t xml:space="preserve">A cost-benefit analysis </w:t>
      </w:r>
      <w:r w:rsidR="0060484A" w:rsidRPr="00282053">
        <w:rPr>
          <w:rFonts w:asciiTheme="minorHAnsi" w:hAnsiTheme="minorHAnsi"/>
          <w:sz w:val="22"/>
          <w:szCs w:val="22"/>
        </w:rPr>
        <w:t>of the new gTLD</w:t>
      </w:r>
      <w:r w:rsidR="00282053" w:rsidRPr="00282053">
        <w:rPr>
          <w:rFonts w:asciiTheme="minorHAnsi" w:hAnsiTheme="minorHAnsi"/>
          <w:sz w:val="22"/>
          <w:szCs w:val="22"/>
        </w:rPr>
        <w:t>s</w:t>
      </w:r>
      <w:r w:rsidR="0060484A" w:rsidRPr="00282053">
        <w:rPr>
          <w:rFonts w:asciiTheme="minorHAnsi" w:hAnsiTheme="minorHAnsi"/>
          <w:sz w:val="22"/>
          <w:szCs w:val="22"/>
        </w:rPr>
        <w:t xml:space="preserve"> added to the root as part of the 2012 round, broken down by TLD type (e.g., community, brand, geographic, and standard)</w:t>
      </w:r>
      <w:r w:rsidR="0060484A" w:rsidRPr="00282053">
        <w:rPr>
          <w:rFonts w:asciiTheme="minorHAnsi" w:hAnsiTheme="minorHAnsi"/>
          <w:sz w:val="22"/>
          <w:szCs w:val="22"/>
        </w:rPr>
        <w:t>.</w:t>
      </w:r>
      <w:r w:rsidR="00D5177C" w:rsidRPr="00282053">
        <w:rPr>
          <w:rFonts w:asciiTheme="minorHAnsi" w:hAnsiTheme="minorHAnsi"/>
          <w:sz w:val="22"/>
          <w:szCs w:val="22"/>
        </w:rPr>
        <w:br/>
      </w:r>
    </w:p>
    <w:p w14:paraId="3DCFBCF5" w14:textId="71FB0BC8" w:rsidR="00D5177C" w:rsidRPr="00282053" w:rsidRDefault="00D5177C" w:rsidP="00970DFF">
      <w:pPr>
        <w:pStyle w:val="p1"/>
        <w:numPr>
          <w:ilvl w:val="0"/>
          <w:numId w:val="2"/>
        </w:numPr>
        <w:rPr>
          <w:rFonts w:asciiTheme="minorHAnsi" w:hAnsiTheme="minorHAnsi"/>
          <w:sz w:val="22"/>
          <w:szCs w:val="22"/>
        </w:rPr>
      </w:pPr>
      <w:r w:rsidRPr="00282053">
        <w:rPr>
          <w:rFonts w:asciiTheme="minorHAnsi" w:hAnsiTheme="minorHAnsi"/>
          <w:sz w:val="22"/>
          <w:szCs w:val="22"/>
        </w:rPr>
        <w:t xml:space="preserve">The secondary domain name market and its impact on Registrants, and the </w:t>
      </w:r>
      <w:r w:rsidR="00555C0B" w:rsidRPr="00282053">
        <w:rPr>
          <w:rFonts w:asciiTheme="minorHAnsi" w:hAnsiTheme="minorHAnsi"/>
          <w:sz w:val="22"/>
          <w:szCs w:val="22"/>
        </w:rPr>
        <w:t xml:space="preserve">potential </w:t>
      </w:r>
      <w:r w:rsidRPr="00282053">
        <w:rPr>
          <w:rFonts w:asciiTheme="minorHAnsi" w:hAnsiTheme="minorHAnsi"/>
          <w:sz w:val="22"/>
          <w:szCs w:val="22"/>
        </w:rPr>
        <w:t>imbalance o</w:t>
      </w:r>
      <w:r w:rsidR="00555C0B" w:rsidRPr="00282053">
        <w:rPr>
          <w:rFonts w:asciiTheme="minorHAnsi" w:hAnsiTheme="minorHAnsi"/>
          <w:sz w:val="22"/>
          <w:szCs w:val="22"/>
        </w:rPr>
        <w:t>f market power between Registrars and Registries.</w:t>
      </w:r>
    </w:p>
    <w:p w14:paraId="30202750" w14:textId="77777777" w:rsidR="00D5177C" w:rsidRPr="00282053" w:rsidRDefault="00D5177C" w:rsidP="00D5177C">
      <w:pPr>
        <w:pStyle w:val="p1"/>
        <w:rPr>
          <w:rFonts w:asciiTheme="minorHAnsi" w:hAnsiTheme="minorHAnsi"/>
          <w:sz w:val="22"/>
          <w:szCs w:val="22"/>
        </w:rPr>
      </w:pPr>
    </w:p>
    <w:p w14:paraId="0BE85C5A" w14:textId="77777777" w:rsidR="00FE015F" w:rsidRPr="00282053" w:rsidRDefault="00FE015F" w:rsidP="00D36E6A">
      <w:pPr>
        <w:pStyle w:val="p1"/>
        <w:ind w:left="360"/>
        <w:rPr>
          <w:rFonts w:asciiTheme="minorHAnsi" w:hAnsiTheme="minorHAnsi"/>
          <w:sz w:val="22"/>
          <w:szCs w:val="22"/>
        </w:rPr>
      </w:pPr>
    </w:p>
    <w:p w14:paraId="5A5EF378" w14:textId="523EB843" w:rsidR="00685C8E" w:rsidRPr="00282053" w:rsidRDefault="0060484A" w:rsidP="0060484A">
      <w:pPr>
        <w:rPr>
          <w:sz w:val="22"/>
          <w:szCs w:val="22"/>
        </w:rPr>
      </w:pPr>
      <w:r w:rsidRPr="00282053">
        <w:rPr>
          <w:sz w:val="22"/>
          <w:szCs w:val="22"/>
        </w:rPr>
        <w:t xml:space="preserve">ICANN’s repeated failure to undertake such an economic study appears to benefit the contracting parties (registrars and registries). ICANN needs to act in the interests of all internet stakeholders and initiate a comprehensive economic study </w:t>
      </w:r>
      <w:r w:rsidR="004D119F" w:rsidRPr="00282053">
        <w:rPr>
          <w:sz w:val="22"/>
          <w:szCs w:val="22"/>
        </w:rPr>
        <w:t>by</w:t>
      </w:r>
      <w:r w:rsidRPr="00282053">
        <w:rPr>
          <w:sz w:val="22"/>
          <w:szCs w:val="22"/>
        </w:rPr>
        <w:t xml:space="preserve"> the end of 2026.</w:t>
      </w:r>
    </w:p>
    <w:p w14:paraId="23B0CD90" w14:textId="77777777" w:rsidR="000762ED" w:rsidRPr="00282053" w:rsidRDefault="000762ED">
      <w:pPr>
        <w:rPr>
          <w:b/>
          <w:bCs/>
          <w:sz w:val="22"/>
          <w:szCs w:val="22"/>
        </w:rPr>
      </w:pPr>
    </w:p>
    <w:p w14:paraId="48C8972E" w14:textId="5ED16F89" w:rsidR="00685C8E" w:rsidRPr="00282053" w:rsidRDefault="0060484A">
      <w:pPr>
        <w:rPr>
          <w:b/>
          <w:bCs/>
          <w:sz w:val="22"/>
          <w:szCs w:val="22"/>
        </w:rPr>
      </w:pPr>
      <w:r w:rsidRPr="00282053">
        <w:rPr>
          <w:b/>
          <w:bCs/>
          <w:sz w:val="22"/>
          <w:szCs w:val="22"/>
        </w:rPr>
        <w:t>Administration of the Grant Program is Outside ICANN’s Core Competency as a Technical Coordinating Body and Should Be Delegated to a</w:t>
      </w:r>
      <w:r w:rsidR="00B750A6" w:rsidRPr="00282053">
        <w:rPr>
          <w:b/>
          <w:bCs/>
          <w:sz w:val="22"/>
          <w:szCs w:val="22"/>
        </w:rPr>
        <w:t xml:space="preserve"> Competent</w:t>
      </w:r>
      <w:r w:rsidRPr="00282053">
        <w:rPr>
          <w:b/>
          <w:bCs/>
          <w:sz w:val="22"/>
          <w:szCs w:val="22"/>
        </w:rPr>
        <w:t xml:space="preserve"> Third Party</w:t>
      </w:r>
    </w:p>
    <w:p w14:paraId="7DE66B90" w14:textId="0B8BB114" w:rsidR="0060484A" w:rsidRPr="00282053" w:rsidRDefault="00B750A6">
      <w:pPr>
        <w:rPr>
          <w:sz w:val="22"/>
          <w:szCs w:val="22"/>
        </w:rPr>
      </w:pPr>
      <w:r w:rsidRPr="00282053">
        <w:rPr>
          <w:sz w:val="22"/>
          <w:szCs w:val="22"/>
        </w:rPr>
        <w:t>ICANN is currently responsible for administer</w:t>
      </w:r>
      <w:r w:rsidR="00072D78" w:rsidRPr="00282053">
        <w:rPr>
          <w:sz w:val="22"/>
          <w:szCs w:val="22"/>
        </w:rPr>
        <w:t>ing</w:t>
      </w:r>
      <w:r w:rsidRPr="00282053">
        <w:rPr>
          <w:sz w:val="22"/>
          <w:szCs w:val="22"/>
        </w:rPr>
        <w:t xml:space="preserve"> </w:t>
      </w:r>
      <w:r w:rsidR="00072D78" w:rsidRPr="00282053">
        <w:rPr>
          <w:sz w:val="22"/>
          <w:szCs w:val="22"/>
        </w:rPr>
        <w:t>approximately 230 million dollars in auction proceeds from the 2012 round of new gTLD auctions. In 2025, ICANN announced its first round of grants from these proceeds, totaling up to 9 million dollars</w:t>
      </w:r>
      <w:r w:rsidR="00072D78" w:rsidRPr="00282053">
        <w:rPr>
          <w:rStyle w:val="FootnoteReference"/>
          <w:sz w:val="22"/>
          <w:szCs w:val="22"/>
        </w:rPr>
        <w:footnoteReference w:id="1"/>
      </w:r>
      <w:r w:rsidR="00072D78" w:rsidRPr="00282053">
        <w:rPr>
          <w:sz w:val="22"/>
          <w:szCs w:val="22"/>
        </w:rPr>
        <w:t>. According to page 6 of the Highlights of the Draft ICANN FY27-31 Operating and Financial Plan and FY27 Operating Plan and Budget</w:t>
      </w:r>
      <w:r w:rsidR="00337120" w:rsidRPr="00282053">
        <w:rPr>
          <w:sz w:val="22"/>
          <w:szCs w:val="22"/>
        </w:rPr>
        <w:t xml:space="preserve"> </w:t>
      </w:r>
      <w:r w:rsidR="00337120" w:rsidRPr="00282053">
        <w:rPr>
          <w:sz w:val="22"/>
          <w:szCs w:val="22"/>
        </w:rPr>
        <w:t xml:space="preserve">it </w:t>
      </w:r>
      <w:proofErr w:type="gramStart"/>
      <w:r w:rsidR="00337120" w:rsidRPr="00282053">
        <w:rPr>
          <w:sz w:val="22"/>
          <w:szCs w:val="22"/>
        </w:rPr>
        <w:t>states</w:t>
      </w:r>
      <w:proofErr w:type="gramEnd"/>
      <w:r w:rsidR="00337120" w:rsidRPr="00282053">
        <w:rPr>
          <w:sz w:val="22"/>
          <w:szCs w:val="22"/>
        </w:rPr>
        <w:t xml:space="preserve"> “Grant Program activities expected to take place in FY26 costing 2 million and $5 </w:t>
      </w:r>
      <w:proofErr w:type="spellStart"/>
      <w:r w:rsidR="00337120" w:rsidRPr="00282053">
        <w:rPr>
          <w:sz w:val="22"/>
          <w:szCs w:val="22"/>
        </w:rPr>
        <w:t>million</w:t>
      </w:r>
      <w:proofErr w:type="spellEnd"/>
      <w:r w:rsidR="00337120" w:rsidRPr="00282053">
        <w:rPr>
          <w:sz w:val="22"/>
          <w:szCs w:val="22"/>
        </w:rPr>
        <w:t xml:space="preserve"> of grants being awarded.” </w:t>
      </w:r>
      <w:r w:rsidR="00337120" w:rsidRPr="00282053">
        <w:rPr>
          <w:rStyle w:val="FootnoteReference"/>
          <w:sz w:val="22"/>
          <w:szCs w:val="22"/>
        </w:rPr>
        <w:footnoteReference w:id="2"/>
      </w:r>
      <w:r w:rsidR="00072D78" w:rsidRPr="00282053">
        <w:rPr>
          <w:sz w:val="22"/>
          <w:szCs w:val="22"/>
        </w:rPr>
        <w:t xml:space="preserve"> </w:t>
      </w:r>
    </w:p>
    <w:p w14:paraId="4680FA05" w14:textId="2AEBA12E" w:rsidR="002F43C6" w:rsidRPr="00282053" w:rsidRDefault="00337120">
      <w:pPr>
        <w:rPr>
          <w:sz w:val="22"/>
          <w:szCs w:val="22"/>
        </w:rPr>
      </w:pPr>
      <w:r w:rsidRPr="00282053">
        <w:rPr>
          <w:sz w:val="22"/>
          <w:szCs w:val="22"/>
        </w:rPr>
        <w:t xml:space="preserve">A cursory review of best practices in grant administration </w:t>
      </w:r>
      <w:r w:rsidR="002F43C6" w:rsidRPr="00282053">
        <w:rPr>
          <w:sz w:val="22"/>
          <w:szCs w:val="22"/>
        </w:rPr>
        <w:t>indicates</w:t>
      </w:r>
      <w:r w:rsidRPr="00282053">
        <w:rPr>
          <w:sz w:val="22"/>
          <w:szCs w:val="22"/>
        </w:rPr>
        <w:t xml:space="preserve"> that the average </w:t>
      </w:r>
      <w:r w:rsidR="002F43C6" w:rsidRPr="00282053">
        <w:rPr>
          <w:sz w:val="22"/>
          <w:szCs w:val="22"/>
        </w:rPr>
        <w:t xml:space="preserve">administrative </w:t>
      </w:r>
      <w:r w:rsidRPr="00282053">
        <w:rPr>
          <w:sz w:val="22"/>
          <w:szCs w:val="22"/>
        </w:rPr>
        <w:t xml:space="preserve">cost is 5-15% of total grant funds. However, if I am reading the document cited above correctly, ICANN in </w:t>
      </w:r>
      <w:r w:rsidR="002F43C6" w:rsidRPr="00282053">
        <w:rPr>
          <w:sz w:val="22"/>
          <w:szCs w:val="22"/>
        </w:rPr>
        <w:t>FY</w:t>
      </w:r>
      <w:r w:rsidRPr="00282053">
        <w:rPr>
          <w:sz w:val="22"/>
          <w:szCs w:val="22"/>
        </w:rPr>
        <w:t xml:space="preserve">2026 is spending </w:t>
      </w:r>
      <w:r w:rsidR="002F43C6" w:rsidRPr="00282053">
        <w:rPr>
          <w:sz w:val="22"/>
          <w:szCs w:val="22"/>
        </w:rPr>
        <w:t>$</w:t>
      </w:r>
      <w:r w:rsidR="009B462B" w:rsidRPr="00282053">
        <w:rPr>
          <w:sz w:val="22"/>
          <w:szCs w:val="22"/>
        </w:rPr>
        <w:t>1.5</w:t>
      </w:r>
      <w:r w:rsidRPr="00282053">
        <w:rPr>
          <w:sz w:val="22"/>
          <w:szCs w:val="22"/>
        </w:rPr>
        <w:t xml:space="preserve"> on every </w:t>
      </w:r>
      <w:r w:rsidR="002F43C6" w:rsidRPr="00282053">
        <w:rPr>
          <w:sz w:val="22"/>
          <w:szCs w:val="22"/>
        </w:rPr>
        <w:t>$</w:t>
      </w:r>
      <w:r w:rsidRPr="00282053">
        <w:rPr>
          <w:sz w:val="22"/>
          <w:szCs w:val="22"/>
        </w:rPr>
        <w:t>5 of grants</w:t>
      </w:r>
      <w:r w:rsidR="002F43C6" w:rsidRPr="00282053">
        <w:rPr>
          <w:sz w:val="22"/>
          <w:szCs w:val="22"/>
        </w:rPr>
        <w:t>, whereas in FY2027 it will spend $</w:t>
      </w:r>
      <w:r w:rsidR="009B462B" w:rsidRPr="00282053">
        <w:rPr>
          <w:sz w:val="22"/>
          <w:szCs w:val="22"/>
        </w:rPr>
        <w:t>1.7</w:t>
      </w:r>
      <w:r w:rsidR="002F43C6" w:rsidRPr="00282053">
        <w:rPr>
          <w:sz w:val="22"/>
          <w:szCs w:val="22"/>
        </w:rPr>
        <w:t xml:space="preserve"> on $</w:t>
      </w:r>
      <w:r w:rsidR="009B462B" w:rsidRPr="00282053">
        <w:rPr>
          <w:sz w:val="22"/>
          <w:szCs w:val="22"/>
        </w:rPr>
        <w:t>2.7</w:t>
      </w:r>
      <w:r w:rsidR="002F43C6" w:rsidRPr="00282053">
        <w:rPr>
          <w:sz w:val="22"/>
          <w:szCs w:val="22"/>
        </w:rPr>
        <w:t xml:space="preserve"> dollars. This equates to an administrative percent of 2</w:t>
      </w:r>
      <w:r w:rsidR="009B462B" w:rsidRPr="00282053">
        <w:rPr>
          <w:sz w:val="22"/>
          <w:szCs w:val="22"/>
        </w:rPr>
        <w:t>3</w:t>
      </w:r>
      <w:r w:rsidR="002F43C6" w:rsidRPr="00282053">
        <w:rPr>
          <w:sz w:val="22"/>
          <w:szCs w:val="22"/>
        </w:rPr>
        <w:t xml:space="preserve">% in FY2026 and </w:t>
      </w:r>
      <w:r w:rsidR="009B462B" w:rsidRPr="00282053">
        <w:rPr>
          <w:sz w:val="22"/>
          <w:szCs w:val="22"/>
        </w:rPr>
        <w:t>3</w:t>
      </w:r>
      <w:r w:rsidR="00282053">
        <w:rPr>
          <w:sz w:val="22"/>
          <w:szCs w:val="22"/>
        </w:rPr>
        <w:t>8</w:t>
      </w:r>
      <w:r w:rsidR="002F43C6" w:rsidRPr="00282053">
        <w:rPr>
          <w:sz w:val="22"/>
          <w:szCs w:val="22"/>
        </w:rPr>
        <w:t xml:space="preserve">% in FY2027. </w:t>
      </w:r>
    </w:p>
    <w:p w14:paraId="58231A61" w14:textId="346A4E37" w:rsidR="009F4BD6" w:rsidRPr="00282053" w:rsidRDefault="002F43C6">
      <w:pPr>
        <w:rPr>
          <w:sz w:val="22"/>
          <w:szCs w:val="22"/>
        </w:rPr>
      </w:pPr>
      <w:r w:rsidRPr="00282053">
        <w:rPr>
          <w:sz w:val="22"/>
          <w:szCs w:val="22"/>
        </w:rPr>
        <w:t xml:space="preserve">These numbers should provide clear and undisputed evidence that ICANN is acting outside its core competency as a technical coordinating body and should transfer these funds to a competent organization to distribute them more efficiently. The reason this is of heightened importance is that the monopoly authority ICANN has exercised in connection with auctions of last resorts in the upcoming 2026 round. In 2012, ICANN collected over 233 million in ICANN auctions of last resort, whereas a private auction resulted in the transfer of over 1 billion dollars. Because ICANN has </w:t>
      </w:r>
      <w:r w:rsidRPr="00282053">
        <w:rPr>
          <w:sz w:val="22"/>
          <w:szCs w:val="22"/>
        </w:rPr>
        <w:lastRenderedPageBreak/>
        <w:t>outlawed private resolution in the 2026</w:t>
      </w:r>
      <w:r w:rsidR="00CE5B8A" w:rsidRPr="00282053">
        <w:rPr>
          <w:sz w:val="22"/>
          <w:szCs w:val="22"/>
        </w:rPr>
        <w:t xml:space="preserve"> round</w:t>
      </w:r>
      <w:r w:rsidRPr="00282053">
        <w:rPr>
          <w:sz w:val="22"/>
          <w:szCs w:val="22"/>
        </w:rPr>
        <w:t xml:space="preserve">, </w:t>
      </w:r>
      <w:r w:rsidR="00CE5B8A" w:rsidRPr="00282053">
        <w:rPr>
          <w:sz w:val="22"/>
          <w:szCs w:val="22"/>
        </w:rPr>
        <w:t xml:space="preserve">ICANN has a de facto monopoly of all contention set auctions and </w:t>
      </w:r>
      <w:proofErr w:type="gramStart"/>
      <w:r w:rsidR="00CE5B8A" w:rsidRPr="00282053">
        <w:rPr>
          <w:sz w:val="22"/>
          <w:szCs w:val="22"/>
        </w:rPr>
        <w:t>should be conservatively be</w:t>
      </w:r>
      <w:proofErr w:type="gramEnd"/>
      <w:r w:rsidR="00CE5B8A" w:rsidRPr="00282053">
        <w:rPr>
          <w:sz w:val="22"/>
          <w:szCs w:val="22"/>
        </w:rPr>
        <w:t xml:space="preserve"> expected to take in an additional billion dollars. Based on ICANN’s track record to date, the distribution of these grant proceeds can be handled more competently and efficiently by a third party.</w:t>
      </w:r>
      <w:r w:rsidR="000762ED" w:rsidRPr="00282053">
        <w:rPr>
          <w:sz w:val="22"/>
          <w:szCs w:val="22"/>
        </w:rPr>
        <w:br/>
      </w:r>
    </w:p>
    <w:p w14:paraId="41DEC6D3" w14:textId="20AE4905" w:rsidR="000762ED" w:rsidRPr="00282053" w:rsidRDefault="000762ED">
      <w:pPr>
        <w:rPr>
          <w:b/>
          <w:bCs/>
          <w:sz w:val="22"/>
          <w:szCs w:val="22"/>
        </w:rPr>
      </w:pPr>
      <w:r w:rsidRPr="00282053">
        <w:rPr>
          <w:b/>
          <w:bCs/>
          <w:sz w:val="22"/>
          <w:szCs w:val="22"/>
        </w:rPr>
        <w:t>Lack of Community Engagement and Why That Matters</w:t>
      </w:r>
    </w:p>
    <w:p w14:paraId="5BA748A9" w14:textId="1E1B7E22" w:rsidR="000762ED" w:rsidRPr="00282053" w:rsidRDefault="000762ED">
      <w:pPr>
        <w:rPr>
          <w:sz w:val="22"/>
          <w:szCs w:val="22"/>
        </w:rPr>
      </w:pPr>
      <w:r w:rsidRPr="00282053">
        <w:rPr>
          <w:sz w:val="22"/>
          <w:szCs w:val="22"/>
        </w:rPr>
        <w:t xml:space="preserve">Having been involved with ICANN since its incorporation, </w:t>
      </w:r>
      <w:r w:rsidR="00B26679" w:rsidRPr="00282053">
        <w:rPr>
          <w:sz w:val="22"/>
          <w:szCs w:val="22"/>
        </w:rPr>
        <w:t xml:space="preserve">I have contributed to many previous ICANN </w:t>
      </w:r>
      <w:r w:rsidRPr="00282053">
        <w:rPr>
          <w:sz w:val="22"/>
          <w:szCs w:val="22"/>
        </w:rPr>
        <w:t>budgetary planning cycle</w:t>
      </w:r>
      <w:r w:rsidR="00B26679" w:rsidRPr="00282053">
        <w:rPr>
          <w:sz w:val="22"/>
          <w:szCs w:val="22"/>
        </w:rPr>
        <w:t>s</w:t>
      </w:r>
      <w:r w:rsidRPr="00282053">
        <w:rPr>
          <w:sz w:val="22"/>
          <w:szCs w:val="22"/>
        </w:rPr>
        <w:t xml:space="preserve">.  Sadly, however, the number of community stakeholders that have constructively engaged in this process over the years has dwindled. On the morning of the final submission, only three comments had been submitted, whereas just hours before the close of the comment period, that number had doubled to six.  The question the ICANN Board needs to ask itself is the following: Is the lack of engagement in the public comment period because of: a) ICANN Org has done such a great job </w:t>
      </w:r>
      <w:r w:rsidR="00900DF0" w:rsidRPr="00282053">
        <w:rPr>
          <w:sz w:val="22"/>
          <w:szCs w:val="22"/>
        </w:rPr>
        <w:t xml:space="preserve">that </w:t>
      </w:r>
      <w:r w:rsidRPr="00282053">
        <w:rPr>
          <w:sz w:val="22"/>
          <w:szCs w:val="22"/>
        </w:rPr>
        <w:t xml:space="preserve">there are no unanswered questions; b) </w:t>
      </w:r>
      <w:r w:rsidR="00900DF0" w:rsidRPr="00282053">
        <w:rPr>
          <w:sz w:val="22"/>
          <w:szCs w:val="22"/>
        </w:rPr>
        <w:t xml:space="preserve">people do not care; c) people care, but they do not feel that their concerns or opinions will be heard; or d) people do not want to voice their opinion for fear of potential retribution. In my opinion, </w:t>
      </w:r>
      <w:proofErr w:type="gramStart"/>
      <w:r w:rsidR="00900DF0" w:rsidRPr="00282053">
        <w:rPr>
          <w:sz w:val="22"/>
          <w:szCs w:val="22"/>
        </w:rPr>
        <w:t>the majority of</w:t>
      </w:r>
      <w:proofErr w:type="gramEnd"/>
      <w:r w:rsidR="00900DF0" w:rsidRPr="00282053">
        <w:rPr>
          <w:sz w:val="22"/>
          <w:szCs w:val="22"/>
        </w:rPr>
        <w:t xml:space="preserve"> the community probably falls between b and c. </w:t>
      </w:r>
    </w:p>
    <w:p w14:paraId="12BF8EE4" w14:textId="6A2F07C3" w:rsidR="00900DF0" w:rsidRPr="00282053" w:rsidRDefault="00900DF0">
      <w:pPr>
        <w:rPr>
          <w:sz w:val="22"/>
          <w:szCs w:val="22"/>
        </w:rPr>
      </w:pPr>
      <w:r w:rsidRPr="00282053">
        <w:rPr>
          <w:sz w:val="22"/>
          <w:szCs w:val="22"/>
        </w:rPr>
        <w:t xml:space="preserve">With an annual budget of over $160 million and over $400 million under management (Grant Program + Reserve Fund), it is daunting for an individual or organization </w:t>
      </w:r>
      <w:r w:rsidR="00F01470" w:rsidRPr="00282053">
        <w:rPr>
          <w:sz w:val="22"/>
          <w:szCs w:val="22"/>
        </w:rPr>
        <w:t xml:space="preserve">to </w:t>
      </w:r>
      <w:r w:rsidRPr="00282053">
        <w:rPr>
          <w:sz w:val="22"/>
          <w:szCs w:val="22"/>
        </w:rPr>
        <w:t>make a meaningful contribution. While ICANN allocated approximately 8 weeks for the comment period</w:t>
      </w:r>
      <w:r w:rsidR="00F01470" w:rsidRPr="00282053">
        <w:rPr>
          <w:sz w:val="22"/>
          <w:szCs w:val="22"/>
        </w:rPr>
        <w:t>,</w:t>
      </w:r>
      <w:r w:rsidRPr="00282053">
        <w:rPr>
          <w:sz w:val="22"/>
          <w:szCs w:val="22"/>
        </w:rPr>
        <w:t xml:space="preserve"> 2/3 weeks fell </w:t>
      </w:r>
      <w:r w:rsidR="00F01470" w:rsidRPr="00282053">
        <w:rPr>
          <w:sz w:val="22"/>
          <w:szCs w:val="22"/>
        </w:rPr>
        <w:t>at</w:t>
      </w:r>
      <w:r w:rsidRPr="00282053">
        <w:rPr>
          <w:sz w:val="22"/>
          <w:szCs w:val="22"/>
        </w:rPr>
        <w:t xml:space="preserve"> the end of the year </w:t>
      </w:r>
      <w:r w:rsidR="00F01470" w:rsidRPr="00282053">
        <w:rPr>
          <w:sz w:val="22"/>
          <w:szCs w:val="22"/>
        </w:rPr>
        <w:t xml:space="preserve">holiday season. </w:t>
      </w:r>
      <w:r w:rsidR="00474AC5" w:rsidRPr="00282053">
        <w:rPr>
          <w:sz w:val="22"/>
          <w:szCs w:val="22"/>
        </w:rPr>
        <w:t>Therefore</w:t>
      </w:r>
      <w:r w:rsidR="00F01470" w:rsidRPr="00282053">
        <w:rPr>
          <w:sz w:val="22"/>
          <w:szCs w:val="22"/>
        </w:rPr>
        <w:t xml:space="preserve">, I went with a Smart Brevity approach with two asks: (1) conduct a long-overdue economic analysis of the domain name marketplace and (2) divest the grant program to a more competent authority. </w:t>
      </w:r>
    </w:p>
    <w:p w14:paraId="099FFE51" w14:textId="77777777" w:rsidR="00B26679" w:rsidRPr="00282053" w:rsidRDefault="00B26679">
      <w:pPr>
        <w:rPr>
          <w:sz w:val="22"/>
          <w:szCs w:val="22"/>
        </w:rPr>
      </w:pPr>
    </w:p>
    <w:p w14:paraId="51CA3F57" w14:textId="17B6CB2A" w:rsidR="00B26679" w:rsidRPr="00282053" w:rsidRDefault="00B26679">
      <w:pPr>
        <w:rPr>
          <w:sz w:val="22"/>
          <w:szCs w:val="22"/>
        </w:rPr>
      </w:pPr>
      <w:r w:rsidRPr="00282053">
        <w:rPr>
          <w:sz w:val="22"/>
          <w:szCs w:val="22"/>
        </w:rPr>
        <w:t>Best regards,</w:t>
      </w:r>
    </w:p>
    <w:p w14:paraId="67BF22E3" w14:textId="6EF75105" w:rsidR="00B26679" w:rsidRPr="00282053" w:rsidRDefault="00B26679">
      <w:pPr>
        <w:rPr>
          <w:sz w:val="22"/>
          <w:szCs w:val="22"/>
        </w:rPr>
      </w:pPr>
      <w:r w:rsidRPr="00282053">
        <w:rPr>
          <w:sz w:val="22"/>
          <w:szCs w:val="22"/>
        </w:rPr>
        <w:t>Michael Palage</w:t>
      </w:r>
    </w:p>
    <w:p w14:paraId="40D37AD8" w14:textId="77777777" w:rsidR="00900DF0" w:rsidRPr="00282053" w:rsidRDefault="00900DF0">
      <w:pPr>
        <w:rPr>
          <w:sz w:val="22"/>
          <w:szCs w:val="22"/>
        </w:rPr>
      </w:pPr>
    </w:p>
    <w:sectPr w:rsidR="00900DF0" w:rsidRPr="002820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FFD45" w14:textId="77777777" w:rsidR="00227E64" w:rsidRDefault="00227E64" w:rsidP="00D36E6A">
      <w:pPr>
        <w:spacing w:after="0" w:line="240" w:lineRule="auto"/>
      </w:pPr>
      <w:r>
        <w:separator/>
      </w:r>
    </w:p>
  </w:endnote>
  <w:endnote w:type="continuationSeparator" w:id="0">
    <w:p w14:paraId="7B328597" w14:textId="77777777" w:rsidR="00227E64" w:rsidRDefault="00227E64" w:rsidP="00D36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3F91E" w14:textId="77777777" w:rsidR="00227E64" w:rsidRDefault="00227E64" w:rsidP="00D36E6A">
      <w:pPr>
        <w:spacing w:after="0" w:line="240" w:lineRule="auto"/>
      </w:pPr>
      <w:r>
        <w:separator/>
      </w:r>
    </w:p>
  </w:footnote>
  <w:footnote w:type="continuationSeparator" w:id="0">
    <w:p w14:paraId="14920D2F" w14:textId="77777777" w:rsidR="00227E64" w:rsidRDefault="00227E64" w:rsidP="00D36E6A">
      <w:pPr>
        <w:spacing w:after="0" w:line="240" w:lineRule="auto"/>
      </w:pPr>
      <w:r>
        <w:continuationSeparator/>
      </w:r>
    </w:p>
  </w:footnote>
  <w:footnote w:id="1">
    <w:p w14:paraId="276903B6" w14:textId="3454A984" w:rsidR="00072D78" w:rsidRDefault="00072D78">
      <w:pPr>
        <w:pStyle w:val="FootnoteText"/>
      </w:pPr>
      <w:r>
        <w:rPr>
          <w:rStyle w:val="FootnoteReference"/>
        </w:rPr>
        <w:footnoteRef/>
      </w:r>
      <w:r>
        <w:t xml:space="preserve"> </w:t>
      </w:r>
      <w:hyperlink r:id="rId1" w:history="1">
        <w:r w:rsidRPr="003B237A">
          <w:rPr>
            <w:rStyle w:val="Hyperlink"/>
          </w:rPr>
          <w:t>https://www.icann.org/en/announcements/details/icann-announces-first-cohort-of-grant-program-recipients-29-05-2025-en</w:t>
        </w:r>
      </w:hyperlink>
      <w:r>
        <w:t xml:space="preserve"> </w:t>
      </w:r>
    </w:p>
  </w:footnote>
  <w:footnote w:id="2">
    <w:p w14:paraId="547CB794" w14:textId="4E4294E5" w:rsidR="00337120" w:rsidRDefault="00337120">
      <w:pPr>
        <w:pStyle w:val="FootnoteText"/>
      </w:pPr>
      <w:r>
        <w:rPr>
          <w:rStyle w:val="FootnoteReference"/>
        </w:rPr>
        <w:footnoteRef/>
      </w:r>
      <w:r>
        <w:t xml:space="preserve"> </w:t>
      </w:r>
      <w:hyperlink r:id="rId2" w:history="1">
        <w:r w:rsidRPr="003B237A">
          <w:rPr>
            <w:rStyle w:val="Hyperlink"/>
          </w:rPr>
          <w:t>https://www.icann.org/en/system/files/files/highlights-draft-icann-op-financial-plan-fy2027-2031-op-plan-budget-fy2027-published-2025-en.pdf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0F184A"/>
    <w:multiLevelType w:val="hybridMultilevel"/>
    <w:tmpl w:val="20F84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8875C7"/>
    <w:multiLevelType w:val="hybridMultilevel"/>
    <w:tmpl w:val="ABEAD5FC"/>
    <w:lvl w:ilvl="0" w:tplc="13B4688E">
      <w:start w:val="1"/>
      <w:numFmt w:val="bullet"/>
      <w:lvlText w:val="-"/>
      <w:lvlJc w:val="left"/>
      <w:pPr>
        <w:ind w:left="720" w:hanging="360"/>
      </w:pPr>
      <w:rPr>
        <w:rFonts w:ascii="Aptos" w:eastAsia="Times New Roman" w:hAnsi="Apto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935927">
    <w:abstractNumId w:val="0"/>
  </w:num>
  <w:num w:numId="2" w16cid:durableId="320891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4E2"/>
    <w:rsid w:val="000144D4"/>
    <w:rsid w:val="00072D78"/>
    <w:rsid w:val="000748D6"/>
    <w:rsid w:val="000762ED"/>
    <w:rsid w:val="00227E64"/>
    <w:rsid w:val="00282053"/>
    <w:rsid w:val="0028267B"/>
    <w:rsid w:val="002F43C6"/>
    <w:rsid w:val="003042E4"/>
    <w:rsid w:val="00337120"/>
    <w:rsid w:val="003924E2"/>
    <w:rsid w:val="00474AC5"/>
    <w:rsid w:val="004D119F"/>
    <w:rsid w:val="00555C0B"/>
    <w:rsid w:val="00587585"/>
    <w:rsid w:val="005C2916"/>
    <w:rsid w:val="0060484A"/>
    <w:rsid w:val="00685C8E"/>
    <w:rsid w:val="00707F64"/>
    <w:rsid w:val="008A74A3"/>
    <w:rsid w:val="00900DF0"/>
    <w:rsid w:val="00970DFF"/>
    <w:rsid w:val="009B462B"/>
    <w:rsid w:val="009F4BD6"/>
    <w:rsid w:val="00B26679"/>
    <w:rsid w:val="00B44C5F"/>
    <w:rsid w:val="00B61B1F"/>
    <w:rsid w:val="00B750A6"/>
    <w:rsid w:val="00CE5B8A"/>
    <w:rsid w:val="00D36E6A"/>
    <w:rsid w:val="00D5177C"/>
    <w:rsid w:val="00EB0655"/>
    <w:rsid w:val="00ED795C"/>
    <w:rsid w:val="00F01470"/>
    <w:rsid w:val="00FE0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75DF23"/>
  <w15:chartTrackingRefBased/>
  <w15:docId w15:val="{3717EE6C-C94B-EF4E-9F81-3F5692830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4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24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24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24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24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24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24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24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24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4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24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24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24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24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24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4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4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4E2"/>
    <w:rPr>
      <w:rFonts w:eastAsiaTheme="majorEastAsia" w:cstheme="majorBidi"/>
      <w:color w:val="272727" w:themeColor="text1" w:themeTint="D8"/>
    </w:rPr>
  </w:style>
  <w:style w:type="paragraph" w:styleId="Title">
    <w:name w:val="Title"/>
    <w:basedOn w:val="Normal"/>
    <w:next w:val="Normal"/>
    <w:link w:val="TitleChar"/>
    <w:uiPriority w:val="10"/>
    <w:qFormat/>
    <w:rsid w:val="003924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24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4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24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4E2"/>
    <w:pPr>
      <w:spacing w:before="160"/>
      <w:jc w:val="center"/>
    </w:pPr>
    <w:rPr>
      <w:i/>
      <w:iCs/>
      <w:color w:val="404040" w:themeColor="text1" w:themeTint="BF"/>
    </w:rPr>
  </w:style>
  <w:style w:type="character" w:customStyle="1" w:styleId="QuoteChar">
    <w:name w:val="Quote Char"/>
    <w:basedOn w:val="DefaultParagraphFont"/>
    <w:link w:val="Quote"/>
    <w:uiPriority w:val="29"/>
    <w:rsid w:val="003924E2"/>
    <w:rPr>
      <w:i/>
      <w:iCs/>
      <w:color w:val="404040" w:themeColor="text1" w:themeTint="BF"/>
    </w:rPr>
  </w:style>
  <w:style w:type="paragraph" w:styleId="ListParagraph">
    <w:name w:val="List Paragraph"/>
    <w:basedOn w:val="Normal"/>
    <w:uiPriority w:val="34"/>
    <w:qFormat/>
    <w:rsid w:val="003924E2"/>
    <w:pPr>
      <w:ind w:left="720"/>
      <w:contextualSpacing/>
    </w:pPr>
  </w:style>
  <w:style w:type="character" w:styleId="IntenseEmphasis">
    <w:name w:val="Intense Emphasis"/>
    <w:basedOn w:val="DefaultParagraphFont"/>
    <w:uiPriority w:val="21"/>
    <w:qFormat/>
    <w:rsid w:val="003924E2"/>
    <w:rPr>
      <w:i/>
      <w:iCs/>
      <w:color w:val="0F4761" w:themeColor="accent1" w:themeShade="BF"/>
    </w:rPr>
  </w:style>
  <w:style w:type="paragraph" w:styleId="IntenseQuote">
    <w:name w:val="Intense Quote"/>
    <w:basedOn w:val="Normal"/>
    <w:next w:val="Normal"/>
    <w:link w:val="IntenseQuoteChar"/>
    <w:uiPriority w:val="30"/>
    <w:qFormat/>
    <w:rsid w:val="003924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24E2"/>
    <w:rPr>
      <w:i/>
      <w:iCs/>
      <w:color w:val="0F4761" w:themeColor="accent1" w:themeShade="BF"/>
    </w:rPr>
  </w:style>
  <w:style w:type="character" w:styleId="IntenseReference">
    <w:name w:val="Intense Reference"/>
    <w:basedOn w:val="DefaultParagraphFont"/>
    <w:uiPriority w:val="32"/>
    <w:qFormat/>
    <w:rsid w:val="003924E2"/>
    <w:rPr>
      <w:b/>
      <w:bCs/>
      <w:smallCaps/>
      <w:color w:val="0F4761" w:themeColor="accent1" w:themeShade="BF"/>
      <w:spacing w:val="5"/>
    </w:rPr>
  </w:style>
  <w:style w:type="paragraph" w:customStyle="1" w:styleId="p1">
    <w:name w:val="p1"/>
    <w:basedOn w:val="Normal"/>
    <w:rsid w:val="00685C8E"/>
    <w:pPr>
      <w:spacing w:after="0" w:line="240" w:lineRule="auto"/>
    </w:pPr>
    <w:rPr>
      <w:rFonts w:ascii="Arial" w:eastAsia="Times New Roman" w:hAnsi="Arial" w:cs="Arial"/>
      <w:color w:val="000000"/>
      <w:kern w:val="0"/>
      <w:sz w:val="18"/>
      <w:szCs w:val="18"/>
      <w14:ligatures w14:val="none"/>
    </w:rPr>
  </w:style>
  <w:style w:type="character" w:customStyle="1" w:styleId="s1">
    <w:name w:val="s1"/>
    <w:basedOn w:val="DefaultParagraphFont"/>
    <w:rsid w:val="00685C8E"/>
    <w:rPr>
      <w:rFonts w:ascii="Times New Roman" w:hAnsi="Times New Roman" w:cs="Times New Roman" w:hint="default"/>
      <w:sz w:val="18"/>
      <w:szCs w:val="18"/>
    </w:rPr>
  </w:style>
  <w:style w:type="paragraph" w:styleId="FootnoteText">
    <w:name w:val="footnote text"/>
    <w:basedOn w:val="Normal"/>
    <w:link w:val="FootnoteTextChar"/>
    <w:uiPriority w:val="99"/>
    <w:semiHidden/>
    <w:unhideWhenUsed/>
    <w:rsid w:val="00D36E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E6A"/>
    <w:rPr>
      <w:sz w:val="20"/>
      <w:szCs w:val="20"/>
    </w:rPr>
  </w:style>
  <w:style w:type="character" w:styleId="FootnoteReference">
    <w:name w:val="footnote reference"/>
    <w:basedOn w:val="DefaultParagraphFont"/>
    <w:uiPriority w:val="99"/>
    <w:semiHidden/>
    <w:unhideWhenUsed/>
    <w:rsid w:val="00D36E6A"/>
    <w:rPr>
      <w:vertAlign w:val="superscript"/>
    </w:rPr>
  </w:style>
  <w:style w:type="character" w:customStyle="1" w:styleId="s2">
    <w:name w:val="s2"/>
    <w:basedOn w:val="DefaultParagraphFont"/>
    <w:rsid w:val="00072D78"/>
    <w:rPr>
      <w:color w:val="1552A1"/>
    </w:rPr>
  </w:style>
  <w:style w:type="character" w:styleId="Hyperlink">
    <w:name w:val="Hyperlink"/>
    <w:basedOn w:val="DefaultParagraphFont"/>
    <w:uiPriority w:val="99"/>
    <w:unhideWhenUsed/>
    <w:rsid w:val="00072D78"/>
    <w:rPr>
      <w:color w:val="467886" w:themeColor="hyperlink"/>
      <w:u w:val="single"/>
    </w:rPr>
  </w:style>
  <w:style w:type="character" w:styleId="UnresolvedMention">
    <w:name w:val="Unresolved Mention"/>
    <w:basedOn w:val="DefaultParagraphFont"/>
    <w:uiPriority w:val="99"/>
    <w:semiHidden/>
    <w:unhideWhenUsed/>
    <w:rsid w:val="00072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icann.org/en/system/files/files/highlights-draft-icann-op-financial-plan-fy2027-2031-op-plan-budget-fy2027-published-2025-en.pdf" TargetMode="External"/><Relationship Id="rId1" Type="http://schemas.openxmlformats.org/officeDocument/2006/relationships/hyperlink" Target="https://www.icann.org/en/announcements/details/icann-announces-first-cohort-of-grant-program-recipients-29-05-2025-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6B6CF-5F7D-D540-BF28-60C254DFE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3</Pages>
  <Words>1053</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Palage</dc:creator>
  <cp:keywords/>
  <dc:description/>
  <cp:lastModifiedBy>Michael Palage</cp:lastModifiedBy>
  <cp:revision>22</cp:revision>
  <dcterms:created xsi:type="dcterms:W3CDTF">2026-02-12T16:40:00Z</dcterms:created>
  <dcterms:modified xsi:type="dcterms:W3CDTF">2026-02-12T23:09:00Z</dcterms:modified>
</cp:coreProperties>
</file>